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052A2">
        <w:rPr>
          <w:color w:val="000000"/>
          <w:sz w:val="28"/>
          <w:szCs w:val="28"/>
        </w:rPr>
        <w:t xml:space="preserve"> </w:t>
      </w:r>
      <w:r w:rsidR="00827FA6">
        <w:rPr>
          <w:color w:val="000000"/>
          <w:sz w:val="28"/>
          <w:szCs w:val="28"/>
        </w:rPr>
        <w:t>18</w:t>
      </w:r>
      <w:proofErr w:type="gramEnd"/>
      <w:r>
        <w:rPr>
          <w:color w:val="000000"/>
          <w:sz w:val="28"/>
          <w:szCs w:val="28"/>
        </w:rPr>
        <w:t xml:space="preserve"> »</w:t>
      </w:r>
      <w:r w:rsidR="00BC7C06">
        <w:rPr>
          <w:color w:val="000000"/>
          <w:sz w:val="28"/>
          <w:szCs w:val="28"/>
        </w:rPr>
        <w:t xml:space="preserve"> </w:t>
      </w:r>
      <w:r w:rsidR="00827FA6">
        <w:rPr>
          <w:color w:val="000000"/>
          <w:sz w:val="28"/>
          <w:szCs w:val="28"/>
        </w:rPr>
        <w:t>08.</w:t>
      </w:r>
      <w:r>
        <w:rPr>
          <w:color w:val="000000"/>
          <w:sz w:val="28"/>
          <w:szCs w:val="28"/>
        </w:rPr>
        <w:t xml:space="preserve"> 201</w:t>
      </w:r>
      <w:r w:rsidR="007336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 </w:t>
      </w:r>
      <w:r w:rsidR="00827FA6">
        <w:rPr>
          <w:color w:val="000000"/>
          <w:sz w:val="28"/>
          <w:szCs w:val="28"/>
        </w:rPr>
        <w:t>105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0045A5" w:rsidRDefault="000045A5" w:rsidP="00D527C1"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Pr="00FF66EF" w:rsidRDefault="00AD0C34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AD0C34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350A6">
        <w:rPr>
          <w:rFonts w:ascii="Times New Roman" w:hAnsi="Times New Roman"/>
          <w:sz w:val="28"/>
          <w:szCs w:val="28"/>
        </w:rPr>
        <w:t>30.1</w:t>
      </w:r>
      <w:r w:rsidR="00B85C2C">
        <w:rPr>
          <w:rFonts w:ascii="Times New Roman" w:hAnsi="Times New Roman"/>
          <w:sz w:val="28"/>
          <w:szCs w:val="28"/>
        </w:rPr>
        <w:t>2</w:t>
      </w:r>
      <w:r w:rsidR="00D350A6">
        <w:rPr>
          <w:rFonts w:ascii="Times New Roman" w:hAnsi="Times New Roman"/>
          <w:sz w:val="28"/>
          <w:szCs w:val="28"/>
        </w:rPr>
        <w:t>.</w:t>
      </w:r>
      <w:r w:rsidRPr="00AD0C34">
        <w:rPr>
          <w:rFonts w:ascii="Times New Roman" w:hAnsi="Times New Roman"/>
          <w:sz w:val="28"/>
          <w:szCs w:val="28"/>
        </w:rPr>
        <w:t>201</w:t>
      </w:r>
      <w:r w:rsidR="00D350A6">
        <w:rPr>
          <w:rFonts w:ascii="Times New Roman" w:hAnsi="Times New Roman"/>
          <w:sz w:val="28"/>
          <w:szCs w:val="28"/>
        </w:rPr>
        <w:t>6</w:t>
      </w:r>
      <w:r w:rsidRPr="00AD0C3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350A6">
        <w:rPr>
          <w:rFonts w:ascii="Times New Roman" w:hAnsi="Times New Roman"/>
          <w:sz w:val="28"/>
          <w:szCs w:val="28"/>
        </w:rPr>
        <w:t>154</w:t>
      </w:r>
      <w:r w:rsidRPr="00AD0C34">
        <w:rPr>
          <w:rFonts w:ascii="Times New Roman" w:hAnsi="Times New Roman"/>
          <w:sz w:val="28"/>
          <w:szCs w:val="28"/>
        </w:rPr>
        <w:t xml:space="preserve"> </w:t>
      </w:r>
      <w:r w:rsidR="00332494" w:rsidRPr="00332494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</w:t>
      </w:r>
      <w:r w:rsidR="00D527C1">
        <w:rPr>
          <w:rFonts w:ascii="Times New Roman" w:hAnsi="Times New Roman"/>
          <w:sz w:val="28"/>
          <w:szCs w:val="28"/>
        </w:rPr>
        <w:t>ой</w:t>
      </w:r>
      <w:r w:rsidR="00332494" w:rsidRPr="00332494">
        <w:rPr>
          <w:rFonts w:ascii="Times New Roman" w:hAnsi="Times New Roman"/>
          <w:sz w:val="28"/>
          <w:szCs w:val="28"/>
        </w:rPr>
        <w:t xml:space="preserve"> на решение вопроса местного </w:t>
      </w:r>
      <w:proofErr w:type="gramStart"/>
      <w:r w:rsidR="00332494" w:rsidRPr="00332494">
        <w:rPr>
          <w:rFonts w:ascii="Times New Roman" w:hAnsi="Times New Roman"/>
          <w:sz w:val="28"/>
          <w:szCs w:val="28"/>
        </w:rPr>
        <w:t>значения  «</w:t>
      </w:r>
      <w:proofErr w:type="gramEnd"/>
      <w:r w:rsidR="00332494" w:rsidRPr="00332494">
        <w:rPr>
          <w:rFonts w:ascii="Times New Roman" w:hAnsi="Times New Roman"/>
          <w:sz w:val="28"/>
          <w:szCs w:val="28"/>
        </w:rPr>
        <w:t>Создание зон отдыха на территории муниципального образования» на 201</w:t>
      </w:r>
      <w:r w:rsidR="008B5DAD">
        <w:rPr>
          <w:rFonts w:ascii="Times New Roman" w:hAnsi="Times New Roman"/>
          <w:sz w:val="28"/>
          <w:szCs w:val="28"/>
        </w:rPr>
        <w:t>7</w:t>
      </w:r>
      <w:r w:rsidR="00332494" w:rsidRPr="00332494">
        <w:rPr>
          <w:rFonts w:ascii="Times New Roman" w:hAnsi="Times New Roman"/>
          <w:sz w:val="28"/>
          <w:szCs w:val="28"/>
        </w:rPr>
        <w:t xml:space="preserve"> год»</w:t>
      </w:r>
      <w:r w:rsidR="00D350A6">
        <w:rPr>
          <w:rFonts w:ascii="Times New Roman" w:hAnsi="Times New Roman"/>
          <w:sz w:val="28"/>
          <w:szCs w:val="28"/>
        </w:rPr>
        <w:t xml:space="preserve"> (с изменениями от </w:t>
      </w:r>
      <w:r w:rsidR="00383A2A">
        <w:rPr>
          <w:rFonts w:ascii="Times New Roman" w:hAnsi="Times New Roman"/>
          <w:sz w:val="28"/>
          <w:szCs w:val="28"/>
        </w:rPr>
        <w:t>11</w:t>
      </w:r>
      <w:r w:rsidR="00D350A6">
        <w:rPr>
          <w:rFonts w:ascii="Times New Roman" w:hAnsi="Times New Roman"/>
          <w:sz w:val="28"/>
          <w:szCs w:val="28"/>
        </w:rPr>
        <w:t>.0</w:t>
      </w:r>
      <w:r w:rsidR="00383A2A">
        <w:rPr>
          <w:rFonts w:ascii="Times New Roman" w:hAnsi="Times New Roman"/>
          <w:sz w:val="28"/>
          <w:szCs w:val="28"/>
        </w:rPr>
        <w:t>5</w:t>
      </w:r>
      <w:r w:rsidR="00D350A6">
        <w:rPr>
          <w:rFonts w:ascii="Times New Roman" w:hAnsi="Times New Roman"/>
          <w:sz w:val="28"/>
          <w:szCs w:val="28"/>
        </w:rPr>
        <w:t>.2017 г.)</w:t>
      </w: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27C1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МО г. Петергоф, </w:t>
      </w:r>
      <w:r w:rsidRPr="00BE3316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Pr="00332494" w:rsidRDefault="000045A5" w:rsidP="00332494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32494" w:rsidRPr="00332494">
        <w:rPr>
          <w:rFonts w:ascii="Times New Roman" w:hAnsi="Times New Roman"/>
          <w:sz w:val="28"/>
          <w:szCs w:val="28"/>
        </w:rPr>
        <w:t>П О С Т А Н О В Л Я Е Т:</w:t>
      </w:r>
    </w:p>
    <w:p w:rsidR="005F206F" w:rsidRDefault="00AD0C34" w:rsidP="00ED5B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784FDB">
        <w:rPr>
          <w:rFonts w:ascii="Times New Roman" w:hAnsi="Times New Roman"/>
          <w:sz w:val="28"/>
          <w:szCs w:val="28"/>
        </w:rPr>
        <w:t>30.12.2016</w:t>
      </w:r>
      <w:r w:rsidR="00ED5B4E" w:rsidRPr="00ED5B4E">
        <w:rPr>
          <w:rFonts w:ascii="Times New Roman" w:hAnsi="Times New Roman"/>
          <w:sz w:val="28"/>
          <w:szCs w:val="28"/>
        </w:rPr>
        <w:t xml:space="preserve">г. № </w:t>
      </w:r>
      <w:r w:rsidR="00784FDB">
        <w:rPr>
          <w:rFonts w:ascii="Times New Roman" w:hAnsi="Times New Roman"/>
          <w:sz w:val="28"/>
          <w:szCs w:val="28"/>
        </w:rPr>
        <w:t>154</w:t>
      </w:r>
      <w:r w:rsidRPr="00D9004E">
        <w:rPr>
          <w:rFonts w:ascii="Times New Roman" w:hAnsi="Times New Roman"/>
          <w:sz w:val="28"/>
          <w:szCs w:val="28"/>
        </w:rPr>
        <w:t xml:space="preserve"> «Об утверждении</w:t>
      </w:r>
      <w:r w:rsidR="00332494" w:rsidRPr="00D9004E">
        <w:rPr>
          <w:rFonts w:ascii="Times New Roman" w:hAnsi="Times New Roman"/>
          <w:sz w:val="28"/>
          <w:szCs w:val="28"/>
        </w:rPr>
        <w:t xml:space="preserve"> ведомственн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целев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программ</w:t>
      </w:r>
      <w:r w:rsidRPr="00D9004E">
        <w:rPr>
          <w:rFonts w:ascii="Times New Roman" w:hAnsi="Times New Roman"/>
          <w:sz w:val="28"/>
          <w:szCs w:val="28"/>
        </w:rPr>
        <w:t>ы</w:t>
      </w:r>
      <w:r w:rsidR="00332494" w:rsidRPr="00D9004E">
        <w:rPr>
          <w:rFonts w:ascii="Times New Roman" w:hAnsi="Times New Roman"/>
          <w:sz w:val="28"/>
          <w:szCs w:val="28"/>
        </w:rPr>
        <w:t xml:space="preserve"> мероприятий, направленн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на решение вопроса местного значения «Создание зон отдыха на территории муниципального образования» на 201</w:t>
      </w:r>
      <w:r w:rsidR="008B5DAD" w:rsidRPr="00D9004E">
        <w:rPr>
          <w:rFonts w:ascii="Times New Roman" w:hAnsi="Times New Roman"/>
          <w:sz w:val="28"/>
          <w:szCs w:val="28"/>
        </w:rPr>
        <w:t>7</w:t>
      </w:r>
      <w:r w:rsidR="00332494" w:rsidRPr="00D9004E">
        <w:rPr>
          <w:rFonts w:ascii="Times New Roman" w:hAnsi="Times New Roman"/>
          <w:sz w:val="28"/>
          <w:szCs w:val="28"/>
        </w:rPr>
        <w:t xml:space="preserve"> год</w:t>
      </w:r>
      <w:r w:rsidR="00784FDB">
        <w:rPr>
          <w:rFonts w:ascii="Times New Roman" w:hAnsi="Times New Roman"/>
          <w:sz w:val="28"/>
          <w:szCs w:val="28"/>
        </w:rPr>
        <w:t xml:space="preserve"> (с изменениями от </w:t>
      </w:r>
      <w:r w:rsidR="00383A2A">
        <w:rPr>
          <w:rFonts w:ascii="Times New Roman" w:hAnsi="Times New Roman"/>
          <w:sz w:val="28"/>
          <w:szCs w:val="28"/>
        </w:rPr>
        <w:t>11</w:t>
      </w:r>
      <w:r w:rsidR="00784FDB">
        <w:rPr>
          <w:rFonts w:ascii="Times New Roman" w:hAnsi="Times New Roman"/>
          <w:sz w:val="28"/>
          <w:szCs w:val="28"/>
        </w:rPr>
        <w:t>.0</w:t>
      </w:r>
      <w:r w:rsidR="00383A2A">
        <w:rPr>
          <w:rFonts w:ascii="Times New Roman" w:hAnsi="Times New Roman"/>
          <w:sz w:val="28"/>
          <w:szCs w:val="28"/>
        </w:rPr>
        <w:t>5</w:t>
      </w:r>
      <w:r w:rsidR="00784FDB">
        <w:rPr>
          <w:rFonts w:ascii="Times New Roman" w:hAnsi="Times New Roman"/>
          <w:sz w:val="28"/>
          <w:szCs w:val="28"/>
        </w:rPr>
        <w:t>.2017г.)</w:t>
      </w:r>
      <w:r w:rsidR="00332494" w:rsidRPr="00D9004E">
        <w:rPr>
          <w:rFonts w:ascii="Times New Roman" w:hAnsi="Times New Roman"/>
          <w:sz w:val="28"/>
          <w:szCs w:val="28"/>
        </w:rPr>
        <w:t xml:space="preserve"> (далее Программа) </w:t>
      </w:r>
      <w:r w:rsidR="00D9004E" w:rsidRPr="00D9004E">
        <w:rPr>
          <w:rFonts w:ascii="Times New Roman" w:hAnsi="Times New Roman"/>
          <w:sz w:val="28"/>
          <w:szCs w:val="28"/>
        </w:rPr>
        <w:t xml:space="preserve">изложив приложение №1 к </w:t>
      </w:r>
      <w:proofErr w:type="gramStart"/>
      <w:r w:rsidR="00D9004E" w:rsidRPr="00D9004E">
        <w:rPr>
          <w:rFonts w:ascii="Times New Roman" w:hAnsi="Times New Roman"/>
          <w:sz w:val="28"/>
          <w:szCs w:val="28"/>
        </w:rPr>
        <w:t>Постановлению  согласно</w:t>
      </w:r>
      <w:proofErr w:type="gramEnd"/>
      <w:r w:rsidR="00D9004E" w:rsidRPr="00D9004E">
        <w:rPr>
          <w:rFonts w:ascii="Times New Roman" w:hAnsi="Times New Roman"/>
          <w:sz w:val="28"/>
          <w:szCs w:val="28"/>
        </w:rPr>
        <w:t xml:space="preserve"> приложению №1 к настоящему постановлению.</w:t>
      </w:r>
    </w:p>
    <w:p w:rsidR="00B81F33" w:rsidRPr="00955F97" w:rsidRDefault="00D9004E" w:rsidP="000A55C8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5F97">
        <w:rPr>
          <w:rFonts w:ascii="Times New Roman" w:hAnsi="Times New Roman"/>
          <w:sz w:val="28"/>
          <w:szCs w:val="28"/>
        </w:rPr>
        <w:t>Приложения №</w:t>
      </w:r>
      <w:r w:rsidR="005F206F" w:rsidRPr="00955F97">
        <w:rPr>
          <w:rFonts w:ascii="Times New Roman" w:hAnsi="Times New Roman"/>
          <w:sz w:val="28"/>
          <w:szCs w:val="28"/>
        </w:rPr>
        <w:t xml:space="preserve"> 1,2,</w:t>
      </w:r>
      <w:r w:rsidR="000A55C8" w:rsidRPr="00955F97">
        <w:rPr>
          <w:rFonts w:ascii="Times New Roman" w:hAnsi="Times New Roman"/>
          <w:sz w:val="28"/>
          <w:szCs w:val="28"/>
        </w:rPr>
        <w:t>5,6</w:t>
      </w:r>
      <w:r w:rsidR="00EC1ACD">
        <w:rPr>
          <w:rFonts w:ascii="Times New Roman" w:hAnsi="Times New Roman"/>
          <w:sz w:val="28"/>
          <w:szCs w:val="28"/>
        </w:rPr>
        <w:t>,7</w:t>
      </w:r>
      <w:r w:rsidRPr="00955F97">
        <w:rPr>
          <w:rFonts w:ascii="Times New Roman" w:hAnsi="Times New Roman"/>
          <w:sz w:val="28"/>
          <w:szCs w:val="28"/>
        </w:rPr>
        <w:t xml:space="preserve"> к ведомственной целевой </w:t>
      </w:r>
      <w:proofErr w:type="gramStart"/>
      <w:r w:rsidRPr="00955F97">
        <w:rPr>
          <w:rFonts w:ascii="Times New Roman" w:hAnsi="Times New Roman"/>
          <w:sz w:val="28"/>
          <w:szCs w:val="28"/>
        </w:rPr>
        <w:t>программе  оставить</w:t>
      </w:r>
      <w:proofErr w:type="gramEnd"/>
      <w:r w:rsidRPr="00955F97">
        <w:rPr>
          <w:rFonts w:ascii="Times New Roman" w:hAnsi="Times New Roman"/>
          <w:sz w:val="28"/>
          <w:szCs w:val="28"/>
        </w:rPr>
        <w:t xml:space="preserve"> без изменений</w:t>
      </w:r>
      <w:r w:rsidR="00784FDB">
        <w:rPr>
          <w:rFonts w:ascii="Times New Roman" w:hAnsi="Times New Roman"/>
          <w:sz w:val="28"/>
          <w:szCs w:val="28"/>
        </w:rPr>
        <w:t>.</w:t>
      </w:r>
    </w:p>
    <w:p w:rsidR="00332494" w:rsidRPr="00D9004E" w:rsidRDefault="00332494" w:rsidP="00D900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с </w:t>
      </w:r>
      <w:r w:rsidR="00784FDB">
        <w:rPr>
          <w:rFonts w:ascii="Times New Roman" w:hAnsi="Times New Roman"/>
          <w:sz w:val="28"/>
          <w:szCs w:val="28"/>
        </w:rPr>
        <w:t>даты</w:t>
      </w:r>
      <w:r w:rsidRPr="00D9004E">
        <w:rPr>
          <w:rFonts w:ascii="Times New Roman" w:hAnsi="Times New Roman"/>
          <w:sz w:val="28"/>
          <w:szCs w:val="28"/>
        </w:rPr>
        <w:t xml:space="preserve"> </w:t>
      </w:r>
      <w:r w:rsidR="00C02E46">
        <w:rPr>
          <w:rFonts w:ascii="Times New Roman" w:hAnsi="Times New Roman"/>
          <w:sz w:val="28"/>
          <w:szCs w:val="28"/>
        </w:rPr>
        <w:t>официального опубликования</w:t>
      </w:r>
      <w:r w:rsidRPr="00D9004E">
        <w:rPr>
          <w:rFonts w:ascii="Times New Roman" w:hAnsi="Times New Roman"/>
          <w:sz w:val="28"/>
          <w:szCs w:val="28"/>
        </w:rPr>
        <w:t>.</w:t>
      </w:r>
    </w:p>
    <w:p w:rsidR="00332494" w:rsidRPr="00332494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045A5" w:rsidRPr="00D76CAE" w:rsidRDefault="000045A5" w:rsidP="00332494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64168A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045A5" w:rsidRPr="00D76C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45A5" w:rsidRPr="00D76CA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64168A">
        <w:rPr>
          <w:rFonts w:ascii="Times New Roman" w:hAnsi="Times New Roman" w:cs="Times New Roman"/>
          <w:sz w:val="28"/>
          <w:szCs w:val="28"/>
        </w:rPr>
        <w:t>В.А.Ракова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ED5B4E">
        <w:rPr>
          <w:rFonts w:ascii="Times New Roman" w:hAnsi="Times New Roman" w:cs="Times New Roman"/>
          <w:sz w:val="24"/>
          <w:szCs w:val="24"/>
        </w:rPr>
        <w:t xml:space="preserve"> </w:t>
      </w:r>
      <w:r w:rsidR="00827FA6">
        <w:rPr>
          <w:rFonts w:ascii="Times New Roman" w:hAnsi="Times New Roman" w:cs="Times New Roman"/>
          <w:sz w:val="24"/>
          <w:szCs w:val="24"/>
        </w:rPr>
        <w:t>18.08.</w:t>
      </w:r>
      <w:r w:rsidR="00BC7C06">
        <w:rPr>
          <w:rFonts w:ascii="Times New Roman" w:hAnsi="Times New Roman" w:cs="Times New Roman"/>
          <w:sz w:val="24"/>
          <w:szCs w:val="24"/>
        </w:rPr>
        <w:t>201</w:t>
      </w:r>
      <w:r w:rsidR="0073361C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FA6">
        <w:rPr>
          <w:rFonts w:ascii="Times New Roman" w:hAnsi="Times New Roman" w:cs="Times New Roman"/>
          <w:sz w:val="24"/>
          <w:szCs w:val="24"/>
        </w:rPr>
        <w:t>105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5068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</w:t>
            </w:r>
            <w:proofErr w:type="spellStart"/>
            <w:r w:rsidR="00EC1ACD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EC1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EC1ACD">
              <w:rPr>
                <w:rFonts w:ascii="Times New Roman" w:hAnsi="Times New Roman" w:cs="Times New Roman"/>
                <w:sz w:val="24"/>
                <w:szCs w:val="24"/>
              </w:rPr>
              <w:t>В.А.Ракова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7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FA6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</w:t>
      </w:r>
      <w:r w:rsidR="00EC1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CA">
        <w:rPr>
          <w:rFonts w:ascii="Times New Roman" w:hAnsi="Times New Roman" w:cs="Times New Roman"/>
          <w:b/>
          <w:sz w:val="24"/>
          <w:szCs w:val="24"/>
        </w:rPr>
        <w:t>4292,12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5483F">
        <w:rPr>
          <w:rFonts w:ascii="Times New Roman" w:hAnsi="Times New Roman" w:cs="Times New Roman"/>
          <w:b/>
          <w:sz w:val="24"/>
          <w:szCs w:val="24"/>
        </w:rPr>
        <w:t>2</w:t>
      </w:r>
      <w:r w:rsidR="00234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4E53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="00E80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606C8" w:rsidRPr="00EA19A7" w:rsidTr="006E5B40">
        <w:trPr>
          <w:trHeight w:val="1838"/>
        </w:trPr>
        <w:tc>
          <w:tcPr>
            <w:tcW w:w="822" w:type="dxa"/>
          </w:tcPr>
          <w:p w:rsidR="001606C8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6C8" w:rsidRPr="00A1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06C8" w:rsidRDefault="001606C8" w:rsidP="005458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на внутридворовой территории, ограниченной улицей Разводная, д.11/50, д.13 и Санкт-Петербургским </w:t>
            </w:r>
            <w:proofErr w:type="gramStart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проспектом,</w:t>
            </w:r>
            <w:r w:rsidR="005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606C8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2306,7</w:t>
            </w:r>
          </w:p>
        </w:tc>
        <w:tc>
          <w:tcPr>
            <w:tcW w:w="1276" w:type="dxa"/>
          </w:tcPr>
          <w:p w:rsidR="001606C8" w:rsidRPr="008B5DAD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D5483F" w:rsidP="00D5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5164,8</w:t>
            </w:r>
          </w:p>
        </w:tc>
      </w:tr>
      <w:tr w:rsidR="001606C8" w:rsidRPr="00EA19A7" w:rsidTr="00BA7B46">
        <w:trPr>
          <w:trHeight w:val="1162"/>
        </w:trPr>
        <w:tc>
          <w:tcPr>
            <w:tcW w:w="822" w:type="dxa"/>
          </w:tcPr>
          <w:p w:rsidR="001606C8" w:rsidRPr="00A14D66" w:rsidRDefault="00083DCA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606C8" w:rsidRDefault="00083DCA" w:rsidP="00083D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зоны отдыха по адресу:</w:t>
            </w:r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, д.9а,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1606C8" w:rsidRP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1985,42</w:t>
            </w:r>
          </w:p>
        </w:tc>
        <w:tc>
          <w:tcPr>
            <w:tcW w:w="1276" w:type="dxa"/>
          </w:tcPr>
          <w:p w:rsidR="001606C8" w:rsidRP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30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6B5302" w:rsidP="009D7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84D">
              <w:rPr>
                <w:rFonts w:ascii="Times New Roman" w:hAnsi="Times New Roman" w:cs="Times New Roman"/>
                <w:sz w:val="24"/>
                <w:szCs w:val="24"/>
              </w:rPr>
              <w:t> 810,5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внутридворовой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квер между домами №№ 13/1, 17/1, 17/2 по ул. Юты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  <w:p w:rsidR="00702EA7" w:rsidRDefault="00702EA7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B460F1" w:rsidP="00B460F1">
            <w:r w:rsidRPr="005314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A14D66" w:rsidRDefault="00383A2A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Default="00083DCA" w:rsidP="00B46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созданию зоны отдыха на внутридворовой территории</w:t>
            </w:r>
            <w:r w:rsidR="004677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67793" w:rsidRDefault="0045520A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Блан-Менильская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 xml:space="preserve">, д.11,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, д.55, корп.1, корп.2</w:t>
            </w:r>
          </w:p>
          <w:p w:rsidR="00EB6D25" w:rsidRDefault="00EB6D25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234E53" w:rsidP="00B460F1">
            <w: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6E5B40" w:rsidRDefault="00383A2A" w:rsidP="00F67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34E53" w:rsidRPr="006D04A6" w:rsidRDefault="00234E53" w:rsidP="00AC76DB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AC76DB">
              <w:rPr>
                <w:sz w:val="24"/>
                <w:szCs w:val="24"/>
              </w:rPr>
              <w:t>с</w:t>
            </w:r>
            <w:r w:rsidR="00AC76DB" w:rsidRPr="00AC76DB">
              <w:rPr>
                <w:sz w:val="24"/>
                <w:szCs w:val="24"/>
              </w:rPr>
              <w:t>оздани</w:t>
            </w:r>
            <w:r w:rsidR="00AC76DB">
              <w:rPr>
                <w:sz w:val="24"/>
                <w:szCs w:val="24"/>
              </w:rPr>
              <w:t>и</w:t>
            </w:r>
            <w:r w:rsidR="00AC76DB" w:rsidRPr="00AC76DB">
              <w:rPr>
                <w:sz w:val="24"/>
                <w:szCs w:val="24"/>
              </w:rPr>
              <w:t xml:space="preserve"> зоны отдыха на внутридворовой территории, ограниченной улицей Разводная, д.11/50, д.13 и Санкт-Петербургским </w:t>
            </w:r>
            <w:proofErr w:type="gramStart"/>
            <w:r w:rsidR="00AC76DB" w:rsidRPr="00AC76DB">
              <w:rPr>
                <w:sz w:val="24"/>
                <w:szCs w:val="24"/>
              </w:rPr>
              <w:t>проспектом,  д.</w:t>
            </w:r>
            <w:proofErr w:type="gramEnd"/>
            <w:r w:rsidR="00AC76DB" w:rsidRPr="00AC76D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34E53" w:rsidRPr="006D04A6" w:rsidRDefault="00234E53" w:rsidP="00260A27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260A27">
              <w:rPr>
                <w:sz w:val="24"/>
                <w:szCs w:val="24"/>
              </w:rPr>
              <w:t>с</w:t>
            </w:r>
            <w:r w:rsidR="00260A27" w:rsidRPr="00260A27">
              <w:rPr>
                <w:sz w:val="24"/>
                <w:szCs w:val="24"/>
              </w:rPr>
              <w:t>оздани</w:t>
            </w:r>
            <w:r w:rsidR="00260A27">
              <w:rPr>
                <w:sz w:val="24"/>
                <w:szCs w:val="24"/>
              </w:rPr>
              <w:t>и</w:t>
            </w:r>
            <w:r w:rsidR="00260A27" w:rsidRPr="00260A27">
              <w:rPr>
                <w:sz w:val="24"/>
                <w:szCs w:val="24"/>
              </w:rPr>
              <w:t xml:space="preserve"> зоны отдыха по адресу: </w:t>
            </w:r>
            <w:proofErr w:type="spellStart"/>
            <w:r w:rsidR="00260A27" w:rsidRPr="00260A27">
              <w:rPr>
                <w:sz w:val="24"/>
                <w:szCs w:val="24"/>
              </w:rPr>
              <w:t>ул.Дашкевича</w:t>
            </w:r>
            <w:proofErr w:type="spellEnd"/>
            <w:r w:rsidR="00260A27" w:rsidRPr="00260A27">
              <w:rPr>
                <w:sz w:val="24"/>
                <w:szCs w:val="24"/>
              </w:rPr>
              <w:t xml:space="preserve">, д.9а, </w:t>
            </w:r>
            <w:proofErr w:type="spellStart"/>
            <w:r w:rsidR="00260A27" w:rsidRPr="00260A27">
              <w:rPr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234E53" w:rsidRPr="00EA19A7" w:rsidTr="00BA7B46">
        <w:trPr>
          <w:trHeight w:val="872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34E53" w:rsidRPr="00B460F1" w:rsidRDefault="00234E53" w:rsidP="00E00D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4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B44431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04A6" w:rsidRPr="00EA19A7" w:rsidTr="00BA7B46">
        <w:trPr>
          <w:trHeight w:val="701"/>
        </w:trPr>
        <w:tc>
          <w:tcPr>
            <w:tcW w:w="822" w:type="dxa"/>
          </w:tcPr>
          <w:p w:rsidR="006D04A6" w:rsidRDefault="006D04A6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4A6" w:rsidRPr="004471A1" w:rsidRDefault="004471A1" w:rsidP="00686E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D04A6" w:rsidRPr="002F4A83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Pr="001606C8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7BA7" w:rsidRPr="006E5B40" w:rsidRDefault="00FB7BA7" w:rsidP="00B44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2A">
              <w:rPr>
                <w:rFonts w:ascii="Times New Roman" w:hAnsi="Times New Roman" w:cs="Times New Roman"/>
                <w:sz w:val="24"/>
                <w:szCs w:val="24"/>
              </w:rPr>
              <w:t> 252,9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FAE" w:rsidRPr="00DE4FAE" w:rsidRDefault="000045A5" w:rsidP="00DE4FAE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Приложения: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Приложения: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№1: Локальная смета на создание зоны отдыха на внутридворовой территории, ограниченной улицей Разводная д. 11/50, д. 13 и Санкт-Петербургским проспектом д. 52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№ 2: Локальная смета на создание зоны отдыха по адресу: г. Петергоф, ул. Дашкевича, д. </w:t>
      </w:r>
      <w:proofErr w:type="gram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9</w:t>
      </w:r>
      <w:proofErr w:type="gram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а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№3:</w:t>
      </w:r>
      <w:r w:rsidRPr="00BA7B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EC1AC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Смета расходов</w:t>
      </w: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разработки проектно-сметной документации на создание зоны отдыха на внутридворовой территории: сквер между домами №№ 13/1, 17/1, 17/2 по ул. Юты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Бондаровской</w:t>
      </w:r>
      <w:proofErr w:type="spellEnd"/>
    </w:p>
    <w:p w:rsidR="00BA7B46" w:rsidRPr="00BA7B46" w:rsidRDefault="00EC1ACD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№4: Смета расходов</w:t>
      </w:r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разработки проектно-сметной документации по созданию зоны отдыха на </w:t>
      </w:r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внутридворовой территории по адресу: Блан-</w:t>
      </w:r>
      <w:proofErr w:type="spellStart"/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Менильская</w:t>
      </w:r>
      <w:proofErr w:type="spellEnd"/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д.11, </w:t>
      </w:r>
      <w:proofErr w:type="spellStart"/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Озерковая</w:t>
      </w:r>
      <w:proofErr w:type="spellEnd"/>
      <w:r w:rsidR="00BA7B46"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д.55, корп.1, корп.2</w:t>
      </w:r>
    </w:p>
    <w:p w:rsidR="00BA7B46" w:rsidRPr="00BA7B46" w:rsidRDefault="00BA7B46" w:rsidP="00BA7B4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№ 5,6: Акты обследования сохранения (сноса), пересадки зеленых насаждений и расчета размера их восстановительной стоимости по адресам: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ул.Разводная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д.11/50, д.13, Санкт-Петербургский пр., д.52;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ул.Дашкевича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д.9а, </w:t>
      </w:r>
      <w:proofErr w:type="spellStart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лит.А</w:t>
      </w:r>
      <w:proofErr w:type="spellEnd"/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EC6612" w:rsidRDefault="00BA7B46" w:rsidP="00D926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BA7B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 7: Расчёт стоимости услуг по выполнению технического надзора</w:t>
      </w:r>
      <w:r w:rsidR="00D926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="00D9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479" w:rsidRDefault="00A95479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685" w:rsidRDefault="00D92685" w:rsidP="00601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5C8" w:rsidRDefault="000A55C8" w:rsidP="006011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5C8" w:rsidSect="00A95479">
      <w:head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BF" w:rsidRDefault="001509BF" w:rsidP="000045A5">
      <w:pPr>
        <w:spacing w:after="0" w:line="240" w:lineRule="auto"/>
      </w:pPr>
      <w:r>
        <w:separator/>
      </w:r>
    </w:p>
  </w:endnote>
  <w:endnote w:type="continuationSeparator" w:id="0">
    <w:p w:rsidR="001509BF" w:rsidRDefault="001509BF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BF" w:rsidRDefault="001509BF" w:rsidP="000045A5">
      <w:pPr>
        <w:spacing w:after="0" w:line="240" w:lineRule="auto"/>
      </w:pPr>
      <w:r>
        <w:separator/>
      </w:r>
    </w:p>
  </w:footnote>
  <w:footnote w:type="continuationSeparator" w:id="0">
    <w:p w:rsidR="001509BF" w:rsidRDefault="001509BF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5F45"/>
    <w:multiLevelType w:val="hybridMultilevel"/>
    <w:tmpl w:val="BEE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1288"/>
    <w:rsid w:val="000026C1"/>
    <w:rsid w:val="000045A5"/>
    <w:rsid w:val="000052A2"/>
    <w:rsid w:val="00012D9F"/>
    <w:rsid w:val="000134B5"/>
    <w:rsid w:val="0003224B"/>
    <w:rsid w:val="00081D5F"/>
    <w:rsid w:val="00083DCA"/>
    <w:rsid w:val="000971BE"/>
    <w:rsid w:val="000A55C8"/>
    <w:rsid w:val="000B7C4C"/>
    <w:rsid w:val="000C16B2"/>
    <w:rsid w:val="000D126D"/>
    <w:rsid w:val="000F43EB"/>
    <w:rsid w:val="00122FD1"/>
    <w:rsid w:val="001302E7"/>
    <w:rsid w:val="00137F38"/>
    <w:rsid w:val="00145D28"/>
    <w:rsid w:val="001509BF"/>
    <w:rsid w:val="001606C8"/>
    <w:rsid w:val="00172AEF"/>
    <w:rsid w:val="00175BAE"/>
    <w:rsid w:val="00184C80"/>
    <w:rsid w:val="001962F7"/>
    <w:rsid w:val="001D4103"/>
    <w:rsid w:val="001F2F1A"/>
    <w:rsid w:val="001F7B94"/>
    <w:rsid w:val="00207276"/>
    <w:rsid w:val="002100E0"/>
    <w:rsid w:val="00213C6A"/>
    <w:rsid w:val="0023332C"/>
    <w:rsid w:val="00234E53"/>
    <w:rsid w:val="00252DAC"/>
    <w:rsid w:val="00260A27"/>
    <w:rsid w:val="00263874"/>
    <w:rsid w:val="002655B4"/>
    <w:rsid w:val="00267B34"/>
    <w:rsid w:val="00285E8F"/>
    <w:rsid w:val="00286BA3"/>
    <w:rsid w:val="00295065"/>
    <w:rsid w:val="002A2F02"/>
    <w:rsid w:val="002A7341"/>
    <w:rsid w:val="002B39F6"/>
    <w:rsid w:val="002D2CDC"/>
    <w:rsid w:val="002D7959"/>
    <w:rsid w:val="002E2A2A"/>
    <w:rsid w:val="002F4A83"/>
    <w:rsid w:val="00332494"/>
    <w:rsid w:val="003421AB"/>
    <w:rsid w:val="003422A1"/>
    <w:rsid w:val="00350EA9"/>
    <w:rsid w:val="003554CD"/>
    <w:rsid w:val="0036001A"/>
    <w:rsid w:val="003606B6"/>
    <w:rsid w:val="00363842"/>
    <w:rsid w:val="003713F7"/>
    <w:rsid w:val="00372AF3"/>
    <w:rsid w:val="0038135F"/>
    <w:rsid w:val="003820D7"/>
    <w:rsid w:val="00383A2A"/>
    <w:rsid w:val="00392F83"/>
    <w:rsid w:val="003B1DDC"/>
    <w:rsid w:val="003C3905"/>
    <w:rsid w:val="003D4C29"/>
    <w:rsid w:val="003F6678"/>
    <w:rsid w:val="00412151"/>
    <w:rsid w:val="00423C78"/>
    <w:rsid w:val="00427012"/>
    <w:rsid w:val="00432AA1"/>
    <w:rsid w:val="004471A1"/>
    <w:rsid w:val="004521D7"/>
    <w:rsid w:val="0045520A"/>
    <w:rsid w:val="00457BD4"/>
    <w:rsid w:val="00460382"/>
    <w:rsid w:val="00467793"/>
    <w:rsid w:val="004C3A31"/>
    <w:rsid w:val="004C7683"/>
    <w:rsid w:val="004D7DFA"/>
    <w:rsid w:val="00530EEC"/>
    <w:rsid w:val="005359EB"/>
    <w:rsid w:val="0054580A"/>
    <w:rsid w:val="00585822"/>
    <w:rsid w:val="0058686D"/>
    <w:rsid w:val="00587EA9"/>
    <w:rsid w:val="00596635"/>
    <w:rsid w:val="005A176D"/>
    <w:rsid w:val="005B7194"/>
    <w:rsid w:val="005E365B"/>
    <w:rsid w:val="005F1C6A"/>
    <w:rsid w:val="005F206F"/>
    <w:rsid w:val="005F4ADA"/>
    <w:rsid w:val="00601153"/>
    <w:rsid w:val="00633AD5"/>
    <w:rsid w:val="0064168A"/>
    <w:rsid w:val="0065779C"/>
    <w:rsid w:val="006941A1"/>
    <w:rsid w:val="006B0C53"/>
    <w:rsid w:val="006B5302"/>
    <w:rsid w:val="006D04A6"/>
    <w:rsid w:val="006E39C8"/>
    <w:rsid w:val="006E5B40"/>
    <w:rsid w:val="006E614D"/>
    <w:rsid w:val="006F4D70"/>
    <w:rsid w:val="00702EA7"/>
    <w:rsid w:val="00710372"/>
    <w:rsid w:val="0071446D"/>
    <w:rsid w:val="0073361C"/>
    <w:rsid w:val="00760EF5"/>
    <w:rsid w:val="007726FB"/>
    <w:rsid w:val="00784FDB"/>
    <w:rsid w:val="007B0F9A"/>
    <w:rsid w:val="007B70AC"/>
    <w:rsid w:val="007B7FD3"/>
    <w:rsid w:val="007C048C"/>
    <w:rsid w:val="0081262C"/>
    <w:rsid w:val="00822C3B"/>
    <w:rsid w:val="00827FA6"/>
    <w:rsid w:val="008531C0"/>
    <w:rsid w:val="00857FAF"/>
    <w:rsid w:val="00876052"/>
    <w:rsid w:val="008A145F"/>
    <w:rsid w:val="008A2354"/>
    <w:rsid w:val="008A60D2"/>
    <w:rsid w:val="008B5DAD"/>
    <w:rsid w:val="008C4FDB"/>
    <w:rsid w:val="008C72C4"/>
    <w:rsid w:val="008F509A"/>
    <w:rsid w:val="00951F5C"/>
    <w:rsid w:val="00955F97"/>
    <w:rsid w:val="00967673"/>
    <w:rsid w:val="00981D13"/>
    <w:rsid w:val="00991C98"/>
    <w:rsid w:val="009C1C57"/>
    <w:rsid w:val="009D4FAF"/>
    <w:rsid w:val="009D6CD4"/>
    <w:rsid w:val="009D784D"/>
    <w:rsid w:val="00A003C8"/>
    <w:rsid w:val="00A14D66"/>
    <w:rsid w:val="00A1619C"/>
    <w:rsid w:val="00A17CAE"/>
    <w:rsid w:val="00A3081E"/>
    <w:rsid w:val="00A37953"/>
    <w:rsid w:val="00A70223"/>
    <w:rsid w:val="00A935A2"/>
    <w:rsid w:val="00A95479"/>
    <w:rsid w:val="00A957F0"/>
    <w:rsid w:val="00AC76DB"/>
    <w:rsid w:val="00AC7D5A"/>
    <w:rsid w:val="00AD0C34"/>
    <w:rsid w:val="00B05860"/>
    <w:rsid w:val="00B067E1"/>
    <w:rsid w:val="00B0761B"/>
    <w:rsid w:val="00B23940"/>
    <w:rsid w:val="00B33F22"/>
    <w:rsid w:val="00B44431"/>
    <w:rsid w:val="00B460F1"/>
    <w:rsid w:val="00B5668B"/>
    <w:rsid w:val="00B81F33"/>
    <w:rsid w:val="00B853C1"/>
    <w:rsid w:val="00B85C2C"/>
    <w:rsid w:val="00B927A1"/>
    <w:rsid w:val="00B9305B"/>
    <w:rsid w:val="00BA06D7"/>
    <w:rsid w:val="00BA1D53"/>
    <w:rsid w:val="00BA21C1"/>
    <w:rsid w:val="00BA43FD"/>
    <w:rsid w:val="00BA7B46"/>
    <w:rsid w:val="00BB6CDE"/>
    <w:rsid w:val="00BC2418"/>
    <w:rsid w:val="00BC5309"/>
    <w:rsid w:val="00BC7C06"/>
    <w:rsid w:val="00BE05A9"/>
    <w:rsid w:val="00BF12A0"/>
    <w:rsid w:val="00BF6441"/>
    <w:rsid w:val="00C02E46"/>
    <w:rsid w:val="00C162C4"/>
    <w:rsid w:val="00C26A40"/>
    <w:rsid w:val="00C30E70"/>
    <w:rsid w:val="00C47DFA"/>
    <w:rsid w:val="00C77CF5"/>
    <w:rsid w:val="00C9681A"/>
    <w:rsid w:val="00C96BB4"/>
    <w:rsid w:val="00CB15A8"/>
    <w:rsid w:val="00CC1BF1"/>
    <w:rsid w:val="00CD005E"/>
    <w:rsid w:val="00CD5666"/>
    <w:rsid w:val="00CE386A"/>
    <w:rsid w:val="00CF095D"/>
    <w:rsid w:val="00CF3F7C"/>
    <w:rsid w:val="00D00D8A"/>
    <w:rsid w:val="00D05059"/>
    <w:rsid w:val="00D31F92"/>
    <w:rsid w:val="00D350A6"/>
    <w:rsid w:val="00D429CB"/>
    <w:rsid w:val="00D527C1"/>
    <w:rsid w:val="00D5483F"/>
    <w:rsid w:val="00D71127"/>
    <w:rsid w:val="00D76CAE"/>
    <w:rsid w:val="00D83595"/>
    <w:rsid w:val="00D9004E"/>
    <w:rsid w:val="00D92685"/>
    <w:rsid w:val="00D96F1E"/>
    <w:rsid w:val="00DB4B8B"/>
    <w:rsid w:val="00DC3E9A"/>
    <w:rsid w:val="00DE4FAE"/>
    <w:rsid w:val="00E00D30"/>
    <w:rsid w:val="00E060B4"/>
    <w:rsid w:val="00E41EFA"/>
    <w:rsid w:val="00E70A30"/>
    <w:rsid w:val="00E8062B"/>
    <w:rsid w:val="00E90C04"/>
    <w:rsid w:val="00EB2306"/>
    <w:rsid w:val="00EB6D25"/>
    <w:rsid w:val="00EC1ACD"/>
    <w:rsid w:val="00EC6612"/>
    <w:rsid w:val="00EC743B"/>
    <w:rsid w:val="00ED5B4E"/>
    <w:rsid w:val="00ED6EF8"/>
    <w:rsid w:val="00EE011D"/>
    <w:rsid w:val="00EE1158"/>
    <w:rsid w:val="00EE34F3"/>
    <w:rsid w:val="00EF52B6"/>
    <w:rsid w:val="00F2125D"/>
    <w:rsid w:val="00F35CB5"/>
    <w:rsid w:val="00F65789"/>
    <w:rsid w:val="00F67057"/>
    <w:rsid w:val="00F72239"/>
    <w:rsid w:val="00F7328C"/>
    <w:rsid w:val="00FA6E68"/>
    <w:rsid w:val="00FB0EAE"/>
    <w:rsid w:val="00FB7BA7"/>
    <w:rsid w:val="00FC00F6"/>
    <w:rsid w:val="00FE3DB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452A-2191-426B-83B6-C7B4FB69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2017-08-21T07:42:00Z</cp:lastPrinted>
  <dcterms:created xsi:type="dcterms:W3CDTF">2017-05-10T13:04:00Z</dcterms:created>
  <dcterms:modified xsi:type="dcterms:W3CDTF">2017-08-21T08:33:00Z</dcterms:modified>
</cp:coreProperties>
</file>